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"/>
        <w:tblW w:w="9805" w:type="dxa"/>
        <w:tblLook w:val="04A0" w:firstRow="1" w:lastRow="0" w:firstColumn="1" w:lastColumn="0" w:noHBand="0" w:noVBand="1"/>
      </w:tblPr>
      <w:tblGrid>
        <w:gridCol w:w="2094"/>
        <w:gridCol w:w="2398"/>
        <w:gridCol w:w="1857"/>
        <w:gridCol w:w="3456"/>
      </w:tblGrid>
      <w:tr w:rsidR="001046B6" w:rsidTr="00422C89">
        <w:tc>
          <w:tcPr>
            <w:tcW w:w="2094" w:type="dxa"/>
          </w:tcPr>
          <w:p w:rsidR="001046B6" w:rsidRPr="00B15A76" w:rsidRDefault="001046B6" w:rsidP="00422C89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B15A76">
              <w:rPr>
                <w:b/>
                <w:sz w:val="32"/>
                <w:szCs w:val="32"/>
              </w:rPr>
              <w:t>Assessment</w:t>
            </w:r>
          </w:p>
        </w:tc>
        <w:tc>
          <w:tcPr>
            <w:tcW w:w="2398" w:type="dxa"/>
          </w:tcPr>
          <w:p w:rsidR="001046B6" w:rsidRPr="00B15A76" w:rsidRDefault="001046B6" w:rsidP="00422C89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B15A76">
              <w:rPr>
                <w:b/>
                <w:sz w:val="32"/>
                <w:szCs w:val="32"/>
              </w:rPr>
              <w:t>Purpose</w:t>
            </w:r>
          </w:p>
        </w:tc>
        <w:tc>
          <w:tcPr>
            <w:tcW w:w="1857" w:type="dxa"/>
          </w:tcPr>
          <w:p w:rsidR="001046B6" w:rsidRPr="00B15A76" w:rsidRDefault="001046B6" w:rsidP="00422C89">
            <w:pPr>
              <w:jc w:val="center"/>
              <w:rPr>
                <w:b/>
                <w:sz w:val="32"/>
                <w:szCs w:val="32"/>
              </w:rPr>
            </w:pPr>
            <w:r w:rsidRPr="00B15A76">
              <w:rPr>
                <w:b/>
                <w:sz w:val="32"/>
                <w:szCs w:val="32"/>
              </w:rPr>
              <w:t>Grades</w:t>
            </w:r>
          </w:p>
        </w:tc>
        <w:tc>
          <w:tcPr>
            <w:tcW w:w="3456" w:type="dxa"/>
          </w:tcPr>
          <w:p w:rsidR="001046B6" w:rsidRPr="00B15A76" w:rsidRDefault="001046B6" w:rsidP="00422C89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B15A76">
              <w:rPr>
                <w:b/>
                <w:sz w:val="32"/>
                <w:szCs w:val="32"/>
              </w:rPr>
              <w:t>Testing Window</w:t>
            </w:r>
            <w:r w:rsidR="009C5F09">
              <w:rPr>
                <w:b/>
                <w:sz w:val="32"/>
                <w:szCs w:val="32"/>
              </w:rPr>
              <w:t xml:space="preserve"> 2018-2019</w:t>
            </w:r>
          </w:p>
          <w:p w:rsidR="00837FF9" w:rsidRPr="00B15A76" w:rsidRDefault="00837FF9" w:rsidP="00422C89">
            <w:pPr>
              <w:pStyle w:val="Default"/>
              <w:jc w:val="center"/>
              <w:rPr>
                <w:b/>
              </w:rPr>
            </w:pPr>
            <w:r w:rsidRPr="00B15A76">
              <w:rPr>
                <w:b/>
              </w:rPr>
              <w:t>(any other tests would be approximately around this time)</w:t>
            </w:r>
          </w:p>
        </w:tc>
      </w:tr>
      <w:tr w:rsidR="001046B6" w:rsidTr="00422C89">
        <w:tc>
          <w:tcPr>
            <w:tcW w:w="2094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8"/>
            </w:tblGrid>
            <w:tr w:rsidR="001046B6" w:rsidRPr="00B15A76">
              <w:trPr>
                <w:trHeight w:val="244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>ACCESS 2.0 and ACCESS 2.0 Alt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1046B6" w:rsidRPr="00B15A76">
              <w:trPr>
                <w:trHeight w:val="513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>Official South Dakota Standardized Assessment for English Learners(EL)</w:t>
                  </w:r>
                </w:p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K-12</w:t>
            </w:r>
          </w:p>
        </w:tc>
        <w:tc>
          <w:tcPr>
            <w:tcW w:w="3456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30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9"/>
            </w:tblGrid>
            <w:tr w:rsidR="001046B6" w:rsidRPr="00B15A76" w:rsidTr="009C5F09">
              <w:trPr>
                <w:trHeight w:val="288"/>
              </w:trPr>
              <w:tc>
                <w:tcPr>
                  <w:tcW w:w="0" w:type="auto"/>
                </w:tcPr>
                <w:p w:rsidR="001046B6" w:rsidRPr="00B15A76" w:rsidRDefault="00922138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>
                    <w:rPr>
                      <w:rStyle w:val="Strong"/>
                    </w:rPr>
                    <w:t>January 25 - February 26, 2021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1046B6" w:rsidTr="00422C89">
        <w:tc>
          <w:tcPr>
            <w:tcW w:w="2094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8"/>
            </w:tblGrid>
            <w:tr w:rsidR="001046B6" w:rsidRPr="00B15A76">
              <w:trPr>
                <w:trHeight w:val="244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>WIDA-ACCESS Placement Test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1046B6" w:rsidRPr="00B15A76">
              <w:trPr>
                <w:trHeight w:val="1453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 xml:space="preserve">To measure </w:t>
                  </w:r>
                  <w:proofErr w:type="spellStart"/>
                  <w:r w:rsidRPr="00B15A76">
                    <w:t>profiency</w:t>
                  </w:r>
                  <w:proofErr w:type="spellEnd"/>
                  <w:r w:rsidRPr="00B15A76">
                    <w:t xml:space="preserve"> of the English language for learners who have not indicated </w:t>
                  </w:r>
                  <w:proofErr w:type="gramStart"/>
                  <w:r w:rsidRPr="00B15A76">
                    <w:t>that</w:t>
                  </w:r>
                  <w:proofErr w:type="gramEnd"/>
                  <w:r w:rsidRPr="00B15A76">
                    <w:t xml:space="preserve"> English was their primary language. This assessment is used to help determine if English language instructional services are needed</w:t>
                  </w:r>
                </w:p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K</w:t>
            </w:r>
          </w:p>
        </w:tc>
        <w:tc>
          <w:tcPr>
            <w:tcW w:w="3456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1046B6" w:rsidRPr="00B15A76">
              <w:trPr>
                <w:trHeight w:val="379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>When students enroll in the Viborg-Hurley School District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1046B6" w:rsidTr="00422C89">
        <w:tc>
          <w:tcPr>
            <w:tcW w:w="2094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1046B6" w:rsidRPr="00B15A76">
              <w:trPr>
                <w:trHeight w:val="110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>WIDA Screener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1046B6" w:rsidRPr="00B15A76">
              <w:trPr>
                <w:trHeight w:val="1453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 xml:space="preserve">To measure </w:t>
                  </w:r>
                  <w:proofErr w:type="spellStart"/>
                  <w:r w:rsidRPr="00B15A76">
                    <w:t>profiency</w:t>
                  </w:r>
                  <w:proofErr w:type="spellEnd"/>
                  <w:r w:rsidRPr="00B15A76">
                    <w:t xml:space="preserve"> of the English language for learners who have not indicated </w:t>
                  </w:r>
                  <w:proofErr w:type="gramStart"/>
                  <w:r w:rsidRPr="00B15A76">
                    <w:t>that</w:t>
                  </w:r>
                  <w:proofErr w:type="gramEnd"/>
                  <w:r w:rsidRPr="00B15A76">
                    <w:t xml:space="preserve"> English was their primary language. This assessment is used to help determine if English language instructional services are needed</w:t>
                  </w:r>
                </w:p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1-12</w:t>
            </w:r>
          </w:p>
        </w:tc>
        <w:tc>
          <w:tcPr>
            <w:tcW w:w="3456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1046B6" w:rsidRPr="00B15A76">
              <w:trPr>
                <w:trHeight w:val="379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 xml:space="preserve">When students enroll in the </w:t>
                  </w:r>
                  <w:r w:rsidR="00837FF9" w:rsidRPr="00B15A76">
                    <w:t>Viborg-Hurley</w:t>
                  </w:r>
                  <w:r w:rsidRPr="00B15A76">
                    <w:t xml:space="preserve"> School District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1046B6" w:rsidTr="00422C89">
        <w:tc>
          <w:tcPr>
            <w:tcW w:w="2094" w:type="dxa"/>
          </w:tcPr>
          <w:p w:rsidR="001046B6" w:rsidRPr="00B15A76" w:rsidRDefault="001046B6" w:rsidP="00422C8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8"/>
            </w:tblGrid>
            <w:tr w:rsidR="001046B6" w:rsidRPr="00B15A76">
              <w:trPr>
                <w:trHeight w:val="110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</w:pPr>
                  <w:r w:rsidRPr="00B15A76">
                    <w:lastRenderedPageBreak/>
                    <w:t xml:space="preserve"> Smarter Balanced </w:t>
                  </w:r>
                </w:p>
              </w:tc>
            </w:tr>
          </w:tbl>
          <w:p w:rsidR="001046B6" w:rsidRPr="00B15A76" w:rsidRDefault="001046B6" w:rsidP="00422C8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1046B6" w:rsidRPr="00B15A76" w:rsidRDefault="001046B6" w:rsidP="00422C8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1046B6" w:rsidRPr="00B15A76">
              <w:trPr>
                <w:trHeight w:val="513"/>
              </w:trPr>
              <w:tc>
                <w:tcPr>
                  <w:tcW w:w="0" w:type="auto"/>
                </w:tcPr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</w:pPr>
                  <w:r w:rsidRPr="00B15A76">
                    <w:lastRenderedPageBreak/>
                    <w:t xml:space="preserve"> Official South Dakota Standardized Assessment for ELA/Math </w:t>
                  </w:r>
                </w:p>
              </w:tc>
            </w:tr>
          </w:tbl>
          <w:p w:rsidR="001046B6" w:rsidRPr="00B15A76" w:rsidRDefault="001046B6" w:rsidP="00422C89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046B6" w:rsidRPr="00B15A76" w:rsidRDefault="001046B6" w:rsidP="00422C8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1046B6" w:rsidRPr="00B15A76">
              <w:trPr>
                <w:trHeight w:val="110"/>
              </w:trPr>
              <w:tc>
                <w:tcPr>
                  <w:tcW w:w="0" w:type="auto"/>
                </w:tcPr>
                <w:p w:rsidR="00422C89" w:rsidRDefault="001046B6" w:rsidP="00922138">
                  <w:pPr>
                    <w:pStyle w:val="Default"/>
                    <w:framePr w:hSpace="180" w:wrap="around" w:vAnchor="page" w:hAnchor="margin" w:xAlign="right" w:y="1"/>
                  </w:pPr>
                  <w:r w:rsidRPr="00B15A76">
                    <w:t xml:space="preserve"> </w:t>
                  </w:r>
                </w:p>
                <w:p w:rsidR="001046B6" w:rsidRPr="00B15A76" w:rsidRDefault="001046B6" w:rsidP="00922138">
                  <w:pPr>
                    <w:pStyle w:val="Default"/>
                    <w:framePr w:hSpace="180" w:wrap="around" w:vAnchor="page" w:hAnchor="margin" w:xAlign="right" w:y="1"/>
                  </w:pPr>
                  <w:r w:rsidRPr="00B15A76">
                    <w:lastRenderedPageBreak/>
                    <w:t xml:space="preserve">3-8, 11 </w:t>
                  </w:r>
                </w:p>
              </w:tc>
            </w:tr>
          </w:tbl>
          <w:p w:rsidR="001046B6" w:rsidRPr="00B15A76" w:rsidRDefault="001046B6" w:rsidP="00422C89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1046B6" w:rsidRPr="00B15A76" w:rsidRDefault="001046B6" w:rsidP="00422C89">
            <w:pPr>
              <w:pStyle w:val="Default"/>
            </w:pPr>
          </w:p>
          <w:tbl>
            <w:tblPr>
              <w:tblW w:w="3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1046B6" w:rsidRPr="00B15A76" w:rsidTr="00837FF9">
              <w:trPr>
                <w:trHeight w:val="224"/>
              </w:trPr>
              <w:tc>
                <w:tcPr>
                  <w:tcW w:w="0" w:type="auto"/>
                </w:tcPr>
                <w:p w:rsidR="00422C89" w:rsidRDefault="001046B6" w:rsidP="00922138">
                  <w:pPr>
                    <w:pStyle w:val="Default"/>
                    <w:framePr w:hSpace="180" w:wrap="around" w:vAnchor="page" w:hAnchor="margin" w:xAlign="right" w:y="1"/>
                  </w:pPr>
                  <w:r w:rsidRPr="00B15A76">
                    <w:t xml:space="preserve"> </w:t>
                  </w:r>
                  <w:r w:rsidR="00076F10" w:rsidRPr="00B15A76">
                    <w:t xml:space="preserve">            </w:t>
                  </w:r>
                </w:p>
                <w:p w:rsidR="001046B6" w:rsidRPr="00B15A76" w:rsidRDefault="00922138" w:rsidP="00922138">
                  <w:pPr>
                    <w:pStyle w:val="Default"/>
                    <w:framePr w:hSpace="180" w:wrap="around" w:vAnchor="page" w:hAnchor="margin" w:xAlign="right" w:y="1"/>
                  </w:pPr>
                  <w:r>
                    <w:lastRenderedPageBreak/>
                    <w:t xml:space="preserve">   March 8, 2021 - May 7</w:t>
                  </w:r>
                  <w:bookmarkStart w:id="0" w:name="_GoBack"/>
                  <w:bookmarkEnd w:id="0"/>
                  <w:r>
                    <w:t>, 2021</w:t>
                  </w:r>
                </w:p>
              </w:tc>
            </w:tr>
          </w:tbl>
          <w:p w:rsidR="001046B6" w:rsidRPr="00B15A76" w:rsidRDefault="001046B6" w:rsidP="00422C89">
            <w:pPr>
              <w:rPr>
                <w:sz w:val="24"/>
                <w:szCs w:val="24"/>
              </w:rPr>
            </w:pPr>
          </w:p>
        </w:tc>
      </w:tr>
      <w:tr w:rsidR="001046B6" w:rsidTr="00422C89">
        <w:tc>
          <w:tcPr>
            <w:tcW w:w="2094" w:type="dxa"/>
          </w:tcPr>
          <w:p w:rsidR="001046B6" w:rsidRPr="00B15A76" w:rsidRDefault="001046B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8"/>
            </w:tblGrid>
            <w:tr w:rsidR="001046B6" w:rsidRPr="00B15A76">
              <w:trPr>
                <w:trHeight w:val="110"/>
              </w:trPr>
              <w:tc>
                <w:tcPr>
                  <w:tcW w:w="0" w:type="auto"/>
                </w:tcPr>
                <w:p w:rsidR="001046B6" w:rsidRPr="00B15A76" w:rsidRDefault="00E472AE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>
                    <w:t>Alternate Assessments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647D36" w:rsidRPr="00B15A76">
              <w:trPr>
                <w:trHeight w:val="1319"/>
              </w:trPr>
              <w:tc>
                <w:tcPr>
                  <w:tcW w:w="0" w:type="auto"/>
                </w:tcPr>
                <w:p w:rsidR="00647D36" w:rsidRPr="00B15A76" w:rsidRDefault="00E472AE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>
                    <w:t>The Alternate Assessment</w:t>
                  </w:r>
                  <w:r w:rsidR="00647D36" w:rsidRPr="00B15A76">
                    <w:t xml:space="preserve"> is available for students who have met certain significant cognitive disability criteria. Student’s IEPs will indicate alternate assessment for statewide testing.</w:t>
                  </w:r>
                </w:p>
                <w:p w:rsidR="00647D36" w:rsidRPr="00B15A76" w:rsidRDefault="00647D3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3-8, 11 (alternate)</w:t>
            </w:r>
          </w:p>
        </w:tc>
        <w:tc>
          <w:tcPr>
            <w:tcW w:w="3456" w:type="dxa"/>
          </w:tcPr>
          <w:p w:rsidR="009C5F09" w:rsidRDefault="009C5F09" w:rsidP="00422C89">
            <w:pPr>
              <w:jc w:val="center"/>
            </w:pPr>
          </w:p>
          <w:p w:rsidR="001046B6" w:rsidRPr="00B15A76" w:rsidRDefault="00922138" w:rsidP="00422C8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March 15 - April 30, 2021</w:t>
            </w:r>
          </w:p>
        </w:tc>
      </w:tr>
      <w:tr w:rsidR="001046B6" w:rsidTr="00422C89">
        <w:tc>
          <w:tcPr>
            <w:tcW w:w="2094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8"/>
            </w:tblGrid>
            <w:tr w:rsidR="00647D36" w:rsidRPr="00B15A76">
              <w:trPr>
                <w:trHeight w:val="377"/>
              </w:trPr>
              <w:tc>
                <w:tcPr>
                  <w:tcW w:w="0" w:type="auto"/>
                </w:tcPr>
                <w:p w:rsidR="00647D36" w:rsidRPr="00B15A76" w:rsidRDefault="00647D3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 xml:space="preserve">SD Science </w:t>
                  </w:r>
                  <w:r w:rsidR="00922138">
                    <w:t xml:space="preserve">Smarter Balanced </w:t>
                  </w:r>
                  <w:r w:rsidRPr="00B15A76">
                    <w:t>Assessment and SD Science Alternative Assessment</w:t>
                  </w:r>
                </w:p>
                <w:p w:rsidR="00647D36" w:rsidRPr="00B15A76" w:rsidRDefault="00647D3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647D36" w:rsidRPr="00B15A76">
              <w:trPr>
                <w:trHeight w:val="377"/>
              </w:trPr>
              <w:tc>
                <w:tcPr>
                  <w:tcW w:w="0" w:type="auto"/>
                </w:tcPr>
                <w:p w:rsidR="00647D36" w:rsidRPr="00B15A76" w:rsidRDefault="00647D3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>Official South Dakota Standardized Assessment for Science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1"/>
            </w:tblGrid>
            <w:tr w:rsidR="00647D36" w:rsidRPr="00B15A76">
              <w:trPr>
                <w:trHeight w:val="110"/>
              </w:trPr>
              <w:tc>
                <w:tcPr>
                  <w:tcW w:w="0" w:type="auto"/>
                </w:tcPr>
                <w:p w:rsidR="00647D36" w:rsidRPr="00B15A76" w:rsidRDefault="00647D36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 w:rsidRPr="00B15A76">
                    <w:t>5, 8, 11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tbl>
            <w:tblPr>
              <w:tblW w:w="29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1"/>
            </w:tblGrid>
            <w:tr w:rsidR="00647D36" w:rsidRPr="00B15A76" w:rsidTr="00837FF9">
              <w:trPr>
                <w:trHeight w:val="116"/>
              </w:trPr>
              <w:tc>
                <w:tcPr>
                  <w:tcW w:w="0" w:type="auto"/>
                </w:tcPr>
                <w:p w:rsidR="00647D36" w:rsidRPr="00B15A76" w:rsidRDefault="00922138" w:rsidP="00922138">
                  <w:pPr>
                    <w:pStyle w:val="Default"/>
                    <w:framePr w:hSpace="180" w:wrap="around" w:vAnchor="page" w:hAnchor="margin" w:xAlign="right" w:y="1"/>
                    <w:jc w:val="center"/>
                  </w:pPr>
                  <w:r>
                    <w:rPr>
                      <w:rStyle w:val="Strong"/>
                    </w:rPr>
                    <w:t>March 15 - April 30, 2021</w:t>
                  </w:r>
                </w:p>
              </w:tc>
            </w:tr>
          </w:tbl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1046B6" w:rsidTr="00422C89">
        <w:tc>
          <w:tcPr>
            <w:tcW w:w="2094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National Assessment of Educational Progress in Math and Reading (NAEP)</w:t>
            </w: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Anonymous assessment of progress by the US Department of Education</w:t>
            </w: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4, 8, 12 when Viborg-Hurley is selected for testing</w:t>
            </w: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9C5F09" w:rsidRDefault="00647D36" w:rsidP="00422C89">
            <w:pPr>
              <w:pStyle w:val="Default"/>
              <w:jc w:val="center"/>
            </w:pPr>
            <w:r w:rsidRPr="00B15A76">
              <w:t>Dates Vary. If selected, test would happen once during given school year.</w:t>
            </w:r>
            <w:r w:rsidR="009C5F09">
              <w:t xml:space="preserve"> </w:t>
            </w:r>
          </w:p>
          <w:p w:rsidR="001046B6" w:rsidRPr="00B15A76" w:rsidRDefault="00922138" w:rsidP="00422C8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January 25 - March 19, 2021</w:t>
            </w:r>
          </w:p>
        </w:tc>
      </w:tr>
      <w:tr w:rsidR="001046B6" w:rsidTr="00422C89">
        <w:tc>
          <w:tcPr>
            <w:tcW w:w="2094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In-Classroom Assessments</w:t>
            </w: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Formative/Summative Progress Monitoring</w:t>
            </w: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PK-12</w:t>
            </w: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Daily</w:t>
            </w:r>
          </w:p>
          <w:p w:rsidR="001046B6" w:rsidRPr="00B15A76" w:rsidRDefault="001046B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647D36" w:rsidTr="00422C89">
        <w:tc>
          <w:tcPr>
            <w:tcW w:w="2094" w:type="dxa"/>
          </w:tcPr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NWEA (Maps Testing)</w:t>
            </w:r>
          </w:p>
        </w:tc>
        <w:tc>
          <w:tcPr>
            <w:tcW w:w="2398" w:type="dxa"/>
          </w:tcPr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Interim testing for assessment in ELA, MATH, and READING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3-12</w:t>
            </w:r>
          </w:p>
        </w:tc>
        <w:tc>
          <w:tcPr>
            <w:tcW w:w="3456" w:type="dxa"/>
          </w:tcPr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Fall, Winter, Spring</w:t>
            </w:r>
          </w:p>
        </w:tc>
      </w:tr>
      <w:tr w:rsidR="00647D36" w:rsidTr="00422C89">
        <w:tc>
          <w:tcPr>
            <w:tcW w:w="2094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PSAT Assessment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National Merit Scholarship Eligibility; Proficiency Assessment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Typically 10-11 (Optional)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October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647D36" w:rsidTr="00422C89">
        <w:tc>
          <w:tcPr>
            <w:tcW w:w="2094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proofErr w:type="spellStart"/>
            <w:r w:rsidRPr="00B15A76">
              <w:t>Accuplacer</w:t>
            </w:r>
            <w:proofErr w:type="spellEnd"/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College/Tech Entrance Requirement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Typically 11-12 (Optional)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Any</w:t>
            </w:r>
          </w:p>
        </w:tc>
      </w:tr>
      <w:tr w:rsidR="00647D36" w:rsidTr="00422C89">
        <w:tc>
          <w:tcPr>
            <w:tcW w:w="2094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ASVAB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Military Aptitude/Entrance Requirement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11 (Optional)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Once per year, or can be done individually</w:t>
            </w:r>
            <w:r w:rsidR="00837FF9" w:rsidRPr="00B15A76">
              <w:t xml:space="preserve"> *accommodations can be met in order to fulfill any IEP requirements, however the military cannot use these results*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647D36" w:rsidTr="00422C89">
        <w:tc>
          <w:tcPr>
            <w:tcW w:w="2094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SAT Assessment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College Entrance Requirement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Typically 11-12 (Optional)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7 times per year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647D36" w:rsidTr="00422C89">
        <w:tc>
          <w:tcPr>
            <w:tcW w:w="2094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ACT Assessment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College Entrance Requirement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Pr="00B15A76" w:rsidRDefault="00647D36" w:rsidP="00422C89">
            <w:pPr>
              <w:pStyle w:val="Default"/>
              <w:jc w:val="center"/>
            </w:pPr>
            <w:r w:rsidRPr="00B15A76">
              <w:t>Typically 11-12 (Optional)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647D36" w:rsidRPr="00B15A76" w:rsidRDefault="00647D36" w:rsidP="00422C89">
            <w:pPr>
              <w:pStyle w:val="Default"/>
              <w:jc w:val="center"/>
            </w:pPr>
          </w:p>
          <w:p w:rsidR="00647D36" w:rsidRDefault="009B6BF6" w:rsidP="00422C89">
            <w:pPr>
              <w:pStyle w:val="Default"/>
              <w:jc w:val="center"/>
              <w:rPr>
                <w:b/>
              </w:rPr>
            </w:pPr>
            <w:r>
              <w:t>TBD</w:t>
            </w:r>
            <w:r w:rsidR="00647D36" w:rsidRPr="00B15A76">
              <w:t xml:space="preserve"> </w:t>
            </w:r>
            <w:r w:rsidR="00647D36" w:rsidRPr="00B15A76">
              <w:rPr>
                <w:b/>
              </w:rPr>
              <w:t>*offered at VH*</w:t>
            </w:r>
          </w:p>
          <w:p w:rsidR="00922138" w:rsidRDefault="00922138" w:rsidP="00422C89">
            <w:pPr>
              <w:pStyle w:val="Default"/>
              <w:jc w:val="center"/>
              <w:rPr>
                <w:b/>
              </w:rPr>
            </w:pPr>
          </w:p>
          <w:p w:rsidR="00922138" w:rsidRPr="00922138" w:rsidRDefault="00922138" w:rsidP="00422C89">
            <w:pPr>
              <w:pStyle w:val="Default"/>
              <w:jc w:val="center"/>
            </w:pPr>
            <w:r>
              <w:t>Offered 9 times per year in other districts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</w:tr>
      <w:tr w:rsidR="00647D36" w:rsidTr="00422C89">
        <w:tc>
          <w:tcPr>
            <w:tcW w:w="2094" w:type="dxa"/>
          </w:tcPr>
          <w:p w:rsidR="00D929E0" w:rsidRPr="00B15A76" w:rsidRDefault="00D929E0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D929E0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SAT-10</w:t>
            </w:r>
          </w:p>
        </w:tc>
        <w:tc>
          <w:tcPr>
            <w:tcW w:w="2398" w:type="dxa"/>
          </w:tcPr>
          <w:p w:rsidR="00D929E0" w:rsidRPr="00B15A76" w:rsidRDefault="00D929E0" w:rsidP="00422C89">
            <w:pPr>
              <w:pStyle w:val="Default"/>
              <w:jc w:val="center"/>
            </w:pPr>
          </w:p>
          <w:p w:rsidR="00D929E0" w:rsidRPr="00B15A76" w:rsidRDefault="00D929E0" w:rsidP="00422C89">
            <w:pPr>
              <w:pStyle w:val="Default"/>
              <w:jc w:val="center"/>
            </w:pPr>
            <w:r w:rsidRPr="00B15A76">
              <w:t>Official South Dakota Standardized Assessment for ELA, Math, and Science for Homeschooled students</w:t>
            </w:r>
          </w:p>
          <w:p w:rsidR="00647D36" w:rsidRPr="00B15A76" w:rsidRDefault="00647D36" w:rsidP="0042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D929E0" w:rsidRPr="00B15A76" w:rsidRDefault="00D929E0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D929E0" w:rsidP="00422C89">
            <w:pPr>
              <w:jc w:val="center"/>
              <w:rPr>
                <w:sz w:val="24"/>
                <w:szCs w:val="24"/>
              </w:rPr>
            </w:pPr>
            <w:r w:rsidRPr="00B15A76">
              <w:rPr>
                <w:sz w:val="24"/>
                <w:szCs w:val="24"/>
              </w:rPr>
              <w:t>4, 8, 11</w:t>
            </w:r>
          </w:p>
        </w:tc>
        <w:tc>
          <w:tcPr>
            <w:tcW w:w="3456" w:type="dxa"/>
          </w:tcPr>
          <w:p w:rsidR="00D929E0" w:rsidRPr="00B15A76" w:rsidRDefault="00D929E0" w:rsidP="00422C89">
            <w:pPr>
              <w:jc w:val="center"/>
              <w:rPr>
                <w:sz w:val="24"/>
                <w:szCs w:val="24"/>
              </w:rPr>
            </w:pPr>
          </w:p>
          <w:p w:rsidR="00647D36" w:rsidRPr="00B15A76" w:rsidRDefault="00922138" w:rsidP="00422C8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March 22 - April 16, 2021</w:t>
            </w:r>
          </w:p>
        </w:tc>
      </w:tr>
    </w:tbl>
    <w:p w:rsidR="00762A07" w:rsidRDefault="00762A07" w:rsidP="001046B6"/>
    <w:sectPr w:rsidR="0076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B6"/>
    <w:rsid w:val="00076F10"/>
    <w:rsid w:val="001046B6"/>
    <w:rsid w:val="00422C89"/>
    <w:rsid w:val="004C422C"/>
    <w:rsid w:val="00647D36"/>
    <w:rsid w:val="0074725E"/>
    <w:rsid w:val="00762A07"/>
    <w:rsid w:val="00837FF9"/>
    <w:rsid w:val="00922138"/>
    <w:rsid w:val="009B6BF6"/>
    <w:rsid w:val="009C5F09"/>
    <w:rsid w:val="00B15A76"/>
    <w:rsid w:val="00BA468E"/>
    <w:rsid w:val="00D929E0"/>
    <w:rsid w:val="00E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73B8"/>
  <w15:chartTrackingRefBased/>
  <w15:docId w15:val="{C4D91152-E973-4808-AE7C-A624587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46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22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Schmit</dc:creator>
  <cp:keywords/>
  <dc:description/>
  <cp:lastModifiedBy>Jessica Schmit</cp:lastModifiedBy>
  <cp:revision>10</cp:revision>
  <dcterms:created xsi:type="dcterms:W3CDTF">2018-03-27T19:54:00Z</dcterms:created>
  <dcterms:modified xsi:type="dcterms:W3CDTF">2020-09-01T14:15:00Z</dcterms:modified>
</cp:coreProperties>
</file>